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736" w:type="dxa"/>
        <w:jc w:val="left"/>
        <w:tblInd w:w="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7"/>
        <w:gridCol w:w="2410"/>
        <w:gridCol w:w="3085"/>
        <w:gridCol w:w="1724"/>
      </w:tblGrid>
      <w:tr>
        <w:trPr>
          <w:trHeight w:val="699" w:hRule="atLeast"/>
        </w:trPr>
        <w:tc>
          <w:tcPr>
            <w:tcW w:w="2517" w:type="dxa"/>
            <w:tcBorders>
              <w:right w:val="single" w:sz="4" w:space="0" w:color="000000"/>
            </w:tcBorders>
          </w:tcPr>
          <w:p>
            <w:pPr>
              <w:pStyle w:val="Normal"/>
              <w:pBdr>
                <w:left w:val="single" w:sz="4" w:space="4" w:color="000000"/>
              </w:pBdr>
              <w:spacing w:lineRule="auto" w:line="264"/>
              <w:rPr/>
            </w:pPr>
            <w:r>
              <w:rPr>
                <w:rFonts w:eastAsia="Century Gothic" w:cs="Century Gothic" w:ascii="Century Gothic" w:hAnsi="Century Gothic"/>
                <w:color w:val="000000"/>
                <w:spacing w:val="3"/>
                <w:w w:val="104"/>
                <w:sz w:val="18"/>
                <w:szCs w:val="18"/>
              </w:rPr>
              <w:t>Liceo Scientifico Statale</w:t>
            </w:r>
          </w:p>
          <w:p>
            <w:pPr>
              <w:pStyle w:val="Normal"/>
              <w:pBdr>
                <w:left w:val="single" w:sz="4" w:space="4" w:color="000000"/>
              </w:pBdr>
              <w:spacing w:lineRule="auto" w:line="264"/>
              <w:rPr>
                <w:rFonts w:ascii="Century Gothic" w:hAnsi="Century Gothic" w:eastAsia="Century Gothic" w:cs="Century Gothic"/>
                <w:color w:val="000000"/>
                <w:spacing w:val="42"/>
                <w:kern w:val="2"/>
              </w:rPr>
            </w:pPr>
            <w:r>
              <w:drawing>
                <wp:anchor behindDoc="0" distT="0" distB="0" distL="114935" distR="114935" simplePos="0" locked="0" layoutInCell="1" allowOverlap="1" relativeHeight="2">
                  <wp:simplePos x="0" y="0"/>
                  <wp:positionH relativeFrom="page">
                    <wp:posOffset>220980</wp:posOffset>
                  </wp:positionH>
                  <wp:positionV relativeFrom="page">
                    <wp:posOffset>393700</wp:posOffset>
                  </wp:positionV>
                  <wp:extent cx="819150" cy="631190"/>
                  <wp:effectExtent l="0" t="0" r="0" b="0"/>
                  <wp:wrapNone/>
                  <wp:docPr id="1" name="Immagine 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35" t="-45" r="-35" b="-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31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Century Gothic" w:cs="Century Gothic" w:ascii="Century Gothic" w:hAnsi="Century Gothic"/>
                <w:b/>
                <w:bCs/>
                <w:color w:val="000000"/>
                <w:spacing w:val="42"/>
                <w:w w:val="101"/>
                <w:kern w:val="2"/>
              </w:rPr>
              <w:t>Albert Einstein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90"/>
              <w:rPr/>
            </w:pPr>
            <w:r>
              <w:rPr>
                <w:rFonts w:eastAsia="Century Gothic" w:cs="Century Gothic" w:ascii="Century Gothic" w:hAnsi="Century Gothic"/>
                <w:color w:val="000000"/>
                <w:w w:val="103"/>
                <w:sz w:val="14"/>
                <w:szCs w:val="14"/>
              </w:rPr>
              <w:t>v</w:t>
            </w:r>
            <w:r>
              <w:rPr>
                <w:rFonts w:eastAsia="Century Gothic" w:cs="Century Gothic" w:ascii="Century Gothic" w:hAnsi="Century Gothic"/>
                <w:color w:val="000000"/>
                <w:w w:val="102"/>
                <w:sz w:val="14"/>
                <w:szCs w:val="14"/>
              </w:rPr>
              <w:t>i</w:t>
            </w:r>
            <w:r>
              <w:rPr>
                <w:rFonts w:eastAsia="Century Gothic" w:cs="Century Gothic" w:ascii="Century Gothic" w:hAnsi="Century Gothic"/>
                <w:color w:val="000000"/>
                <w:w w:val="103"/>
                <w:sz w:val="14"/>
                <w:szCs w:val="14"/>
              </w:rPr>
              <w:t>a</w:t>
            </w:r>
            <w:r>
              <w:rPr>
                <w:rFonts w:eastAsia="Century Gothic" w:cs="Century Gothic" w:ascii="Century Gothic" w:hAnsi="Century Gothic"/>
                <w:color w:val="000000"/>
                <w:w w:val="102"/>
                <w:sz w:val="14"/>
                <w:szCs w:val="14"/>
              </w:rPr>
              <w:t xml:space="preserve">A. </w:t>
            </w:r>
            <w:r>
              <w:rPr>
                <w:rFonts w:eastAsia="Century Gothic" w:cs="Century Gothic" w:ascii="Century Gothic" w:hAnsi="Century Gothic"/>
                <w:color w:val="000000"/>
                <w:w w:val="103"/>
                <w:sz w:val="14"/>
                <w:szCs w:val="14"/>
              </w:rPr>
              <w:t>E</w:t>
            </w:r>
            <w:r>
              <w:rPr>
                <w:rFonts w:eastAsia="Century Gothic" w:cs="Century Gothic" w:ascii="Century Gothic" w:hAnsi="Century Gothic"/>
                <w:color w:val="000000"/>
                <w:w w:val="102"/>
                <w:sz w:val="14"/>
                <w:szCs w:val="14"/>
              </w:rPr>
              <w:t>instein,</w:t>
            </w:r>
            <w:r>
              <w:rPr>
                <w:rFonts w:eastAsia="Century Gothic" w:cs="Century Gothic" w:ascii="Century Gothic" w:hAnsi="Century Gothic"/>
                <w:color w:val="000000"/>
                <w:w w:val="103"/>
                <w:sz w:val="14"/>
                <w:szCs w:val="14"/>
              </w:rPr>
              <w:t>3</w:t>
            </w:r>
          </w:p>
          <w:p>
            <w:pPr>
              <w:pStyle w:val="Normal"/>
              <w:spacing w:lineRule="auto" w:line="290"/>
              <w:rPr>
                <w:rFonts w:ascii="Century Gothic" w:hAnsi="Century Gothic" w:eastAsia="Century Gothic" w:cs="Century Gothic"/>
                <w:color w:val="000000"/>
                <w:w w:val="102"/>
                <w:sz w:val="14"/>
                <w:szCs w:val="14"/>
              </w:rPr>
            </w:pPr>
            <w:r>
              <w:rPr>
                <w:rFonts w:eastAsia="Century Gothic" w:cs="Century Gothic" w:ascii="Century Gothic" w:hAnsi="Century Gothic"/>
                <w:color w:val="000000"/>
                <w:w w:val="103"/>
                <w:sz w:val="14"/>
                <w:szCs w:val="14"/>
              </w:rPr>
              <w:t>20137</w:t>
            </w:r>
            <w:r>
              <w:rPr>
                <w:rFonts w:eastAsia="Century Gothic" w:cs="Century Gothic" w:ascii="Century Gothic" w:hAnsi="Century Gothic"/>
                <w:color w:val="000000"/>
                <w:w w:val="102"/>
                <w:sz w:val="14"/>
                <w:szCs w:val="14"/>
              </w:rPr>
              <w:t>Mil</w:t>
            </w:r>
            <w:r>
              <w:rPr>
                <w:rFonts w:eastAsia="Century Gothic" w:cs="Century Gothic" w:ascii="Century Gothic" w:hAnsi="Century Gothic"/>
                <w:color w:val="000000"/>
                <w:w w:val="103"/>
                <w:sz w:val="14"/>
                <w:szCs w:val="14"/>
              </w:rPr>
              <w:t>a</w:t>
            </w:r>
            <w:r>
              <w:rPr>
                <w:rFonts w:eastAsia="Century Gothic" w:cs="Century Gothic" w:ascii="Century Gothic" w:hAnsi="Century Gothic"/>
                <w:color w:val="000000"/>
                <w:w w:val="102"/>
                <w:sz w:val="14"/>
                <w:szCs w:val="14"/>
              </w:rPr>
              <w:t>no</w:t>
              <w:br/>
            </w:r>
          </w:p>
          <w:p>
            <w:pPr>
              <w:pStyle w:val="Normal"/>
              <w:spacing w:lineRule="auto" w:line="290"/>
              <w:rPr>
                <w:rFonts w:ascii="Century Gothic" w:hAnsi="Century Gothic" w:eastAsia="Century Gothic" w:cs="Century Gothic"/>
                <w:color w:val="000000"/>
                <w:w w:val="102"/>
                <w:sz w:val="14"/>
                <w:szCs w:val="14"/>
              </w:rPr>
            </w:pPr>
            <w:hyperlink r:id="rId3">
              <w:r>
                <w:rPr>
                  <w:rStyle w:val="CollegamentoInternet"/>
                  <w:rFonts w:eastAsia="Century Gothic" w:cs="Century Gothic" w:ascii="Century Gothic" w:hAnsi="Century Gothic"/>
                  <w:w w:val="102"/>
                  <w:sz w:val="14"/>
                  <w:szCs w:val="14"/>
                </w:rPr>
                <w:t>www.liceoeinsteinmilano.edu.it</w:t>
              </w:r>
            </w:hyperlink>
          </w:p>
          <w:p>
            <w:pPr>
              <w:pStyle w:val="Normal"/>
              <w:spacing w:lineRule="auto" w:line="290"/>
              <w:rPr>
                <w:rFonts w:ascii="Century Gothic" w:hAnsi="Century Gothic" w:eastAsia="Century Gothic" w:cs="Century Gothic"/>
                <w:color w:val="000000"/>
                <w:w w:val="103"/>
                <w:sz w:val="12"/>
                <w:szCs w:val="12"/>
              </w:rPr>
            </w:pPr>
            <w:r>
              <w:rPr>
                <w:rFonts w:eastAsia="Century Gothic" w:cs="Century Gothic" w:ascii="Century Gothic" w:hAnsi="Century Gothic"/>
                <w:color w:val="000000"/>
                <w:w w:val="103"/>
                <w:sz w:val="12"/>
                <w:szCs w:val="12"/>
              </w:rPr>
              <w:tab/>
            </w:r>
          </w:p>
          <w:p>
            <w:pPr>
              <w:pStyle w:val="Normal"/>
              <w:spacing w:lineRule="auto" w:line="290"/>
              <w:rPr>
                <w:rFonts w:ascii="Century Gothic" w:hAnsi="Century Gothic" w:eastAsia="Century Gothic" w:cs="Century Gothic"/>
                <w:color w:val="000000"/>
                <w:w w:val="103"/>
                <w:sz w:val="12"/>
                <w:szCs w:val="12"/>
              </w:rPr>
            </w:pPr>
            <w:r>
              <w:rPr>
                <w:rFonts w:eastAsia="Century Gothic" w:cs="Century Gothic" w:ascii="Century Gothic" w:hAnsi="Century Gothic"/>
                <w:color w:val="000000"/>
                <w:w w:val="103"/>
                <w:sz w:val="12"/>
                <w:szCs w:val="12"/>
              </w:rPr>
            </w:r>
          </w:p>
        </w:tc>
        <w:tc>
          <w:tcPr>
            <w:tcW w:w="30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90"/>
              <w:rPr>
                <w:rFonts w:ascii="Century Gothic" w:hAnsi="Century Gothic" w:eastAsia="Century Gothic" w:cs="Century Gothic"/>
                <w:color w:val="000000"/>
                <w:w w:val="103"/>
                <w:sz w:val="14"/>
                <w:szCs w:val="14"/>
                <w:lang w:val="en-US"/>
              </w:rPr>
            </w:pPr>
            <w:r>
              <w:rPr>
                <w:rFonts w:eastAsia="Century Gothic" w:cs="Century Gothic" w:ascii="Century Gothic" w:hAnsi="Century Gothic"/>
                <w:color w:val="000000"/>
                <w:w w:val="103"/>
                <w:sz w:val="14"/>
                <w:szCs w:val="14"/>
                <w:lang w:val="en-US"/>
              </w:rPr>
              <w:t>Tel   02.5413161</w:t>
            </w:r>
          </w:p>
          <w:p>
            <w:pPr>
              <w:pStyle w:val="Normal"/>
              <w:spacing w:lineRule="auto" w:line="290"/>
              <w:rPr/>
            </w:pPr>
            <w:r>
              <w:rPr>
                <w:rFonts w:eastAsia="Century Gothic" w:cs="Century Gothic" w:ascii="Century Gothic" w:hAnsi="Century Gothic"/>
                <w:color w:val="000000"/>
                <w:w w:val="103"/>
                <w:sz w:val="14"/>
                <w:szCs w:val="14"/>
                <w:lang w:val="en-US"/>
              </w:rPr>
              <w:t>Fax  02.5460852</w:t>
              <w:br/>
            </w:r>
          </w:p>
          <w:p>
            <w:pPr>
              <w:pStyle w:val="Normal"/>
              <w:spacing w:lineRule="auto" w:line="290"/>
              <w:rPr>
                <w:rFonts w:ascii="Century Gothic" w:hAnsi="Century Gothic" w:eastAsia="Century Gothic" w:cs="Century Gothic"/>
                <w:color w:val="000000"/>
                <w:w w:val="102"/>
                <w:sz w:val="14"/>
                <w:szCs w:val="14"/>
                <w:lang w:val="en-US"/>
              </w:rPr>
            </w:pPr>
            <w:hyperlink r:id="rId4">
              <w:r>
                <w:rPr>
                  <w:rStyle w:val="CollegamentoInternet"/>
                  <w:rFonts w:cs="Century Gothic" w:ascii="Century Gothic" w:hAnsi="Century Gothic"/>
                  <w:sz w:val="14"/>
                  <w:szCs w:val="14"/>
                  <w:lang w:val="en-US"/>
                </w:rPr>
                <w:t>didattica@liceoeinsteinmilano.edu.it</w:t>
              </w:r>
            </w:hyperlink>
          </w:p>
          <w:p>
            <w:pPr>
              <w:pStyle w:val="Normal"/>
              <w:spacing w:lineRule="auto" w:line="290"/>
              <w:rPr>
                <w:rFonts w:ascii="Century Gothic" w:hAnsi="Century Gothic" w:cs="Century Gothic"/>
                <w:color w:val="000000"/>
                <w:sz w:val="14"/>
                <w:szCs w:val="14"/>
                <w:lang w:val="en-US"/>
              </w:rPr>
            </w:pPr>
            <w:hyperlink r:id="rId5">
              <w:r>
                <w:rPr>
                  <w:rStyle w:val="CollegamentoInternet"/>
                  <w:rFonts w:cs="Century Gothic" w:ascii="Century Gothic" w:hAnsi="Century Gothic"/>
                  <w:sz w:val="14"/>
                  <w:szCs w:val="14"/>
                  <w:lang w:val="en-US"/>
                </w:rPr>
                <w:t>amministrativa@liceoeinsteinmilano.edu.it</w:t>
              </w:r>
            </w:hyperlink>
          </w:p>
          <w:p>
            <w:pPr>
              <w:pStyle w:val="Normal"/>
              <w:spacing w:lineRule="auto" w:line="290"/>
              <w:rPr>
                <w:rFonts w:ascii="Century Gothic" w:hAnsi="Century Gothic" w:cs="Century Gothic"/>
                <w:color w:val="000000"/>
                <w:sz w:val="14"/>
                <w:szCs w:val="14"/>
                <w:lang w:val="en-US"/>
              </w:rPr>
            </w:pPr>
            <w:r>
              <w:rPr>
                <w:rFonts w:cs="Century Gothic" w:ascii="Century Gothic" w:hAnsi="Century Gothic"/>
                <w:color w:val="000000"/>
                <w:sz w:val="14"/>
                <w:szCs w:val="14"/>
                <w:lang w:val="en-US"/>
              </w:rPr>
              <w:t>mips01000g@istruzione.it</w:t>
            </w:r>
          </w:p>
          <w:p>
            <w:pPr>
              <w:pStyle w:val="Normal"/>
              <w:spacing w:lineRule="auto" w:line="290"/>
              <w:rPr>
                <w:rFonts w:ascii="Century Gothic" w:hAnsi="Century Gothic" w:cs="Century Gothic"/>
                <w:color w:val="000000"/>
                <w:sz w:val="14"/>
                <w:szCs w:val="14"/>
                <w:lang w:val="en-US"/>
              </w:rPr>
            </w:pPr>
            <w:hyperlink r:id="rId6">
              <w:r>
                <w:rPr>
                  <w:rStyle w:val="CollegamentoInternet"/>
                  <w:rFonts w:cs="Century Gothic" w:ascii="Century Gothic" w:hAnsi="Century Gothic"/>
                  <w:color w:val="000000"/>
                  <w:sz w:val="14"/>
                  <w:szCs w:val="14"/>
                  <w:lang w:val="en-US"/>
                </w:rPr>
                <w:t>mips01000g@pec.istruzione.it</w:t>
              </w:r>
            </w:hyperlink>
          </w:p>
          <w:p>
            <w:pPr>
              <w:pStyle w:val="Normal"/>
              <w:spacing w:lineRule="auto" w:line="290"/>
              <w:rPr>
                <w:rFonts w:ascii="Century Gothic" w:hAnsi="Century Gothic" w:cs="Century Gothic"/>
                <w:color w:val="000000"/>
                <w:sz w:val="14"/>
                <w:szCs w:val="14"/>
                <w:lang w:val="en-US"/>
              </w:rPr>
            </w:pPr>
            <w:r>
              <w:rPr>
                <w:rFonts w:cs="Century Gothic" w:ascii="Century Gothic" w:hAnsi="Century Gothic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1724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90"/>
              <w:rPr>
                <w:rFonts w:ascii="Century Gothic" w:hAnsi="Century Gothic" w:eastAsia="Century Gothic" w:cs="Century Gothic"/>
                <w:color w:val="000000"/>
                <w:w w:val="103"/>
                <w:sz w:val="14"/>
                <w:szCs w:val="14"/>
              </w:rPr>
            </w:pPr>
            <w:r>
              <w:rPr>
                <w:rFonts w:eastAsia="Century Gothic" w:cs="Century Gothic" w:ascii="Century Gothic" w:hAnsi="Century Gothic"/>
                <w:color w:val="000000"/>
                <w:w w:val="103"/>
                <w:sz w:val="14"/>
                <w:szCs w:val="14"/>
              </w:rPr>
              <w:t xml:space="preserve">C.F. </w:t>
              <w:br/>
              <w:t>80125710154</w:t>
            </w:r>
          </w:p>
          <w:p>
            <w:pPr>
              <w:pStyle w:val="Normal"/>
              <w:spacing w:lineRule="auto" w:line="290"/>
              <w:rPr>
                <w:rFonts w:ascii="Century Gothic" w:hAnsi="Century Gothic" w:eastAsia="Century Gothic" w:cs="Century Gothic"/>
                <w:color w:val="000000"/>
                <w:w w:val="103"/>
                <w:sz w:val="14"/>
                <w:szCs w:val="14"/>
              </w:rPr>
            </w:pPr>
            <w:r>
              <w:rPr>
                <w:rFonts w:eastAsia="Century Gothic" w:cs="Century Gothic" w:ascii="Century Gothic" w:hAnsi="Century Gothic"/>
                <w:color w:val="000000"/>
                <w:w w:val="103"/>
                <w:sz w:val="14"/>
                <w:szCs w:val="14"/>
              </w:rPr>
            </w:r>
          </w:p>
          <w:p>
            <w:pPr>
              <w:pStyle w:val="Normal"/>
              <w:spacing w:lineRule="auto" w:line="290"/>
              <w:rPr/>
            </w:pPr>
            <w:r>
              <w:rPr>
                <w:rFonts w:eastAsia="Century Gothic" w:cs="Century Gothic" w:ascii="Century Gothic" w:hAnsi="Century Gothic"/>
                <w:color w:val="000000"/>
                <w:w w:val="103"/>
                <w:sz w:val="14"/>
                <w:szCs w:val="14"/>
              </w:rPr>
              <w:t xml:space="preserve">C.M. </w:t>
              <w:br/>
              <w:t>MIPS01000G</w:t>
            </w:r>
          </w:p>
        </w:tc>
      </w:tr>
    </w:tbl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Corpotesto1"/>
        <w:rPr>
          <w:sz w:val="22"/>
        </w:rPr>
      </w:pPr>
      <w:r>
        <w:rPr>
          <w:sz w:val="22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bCs/>
          <w:color w:val="000000"/>
        </w:rPr>
        <w:t>CONVENZIONE TRA ISTITUZIONE SCOLASTICA E SOGGETTO OSPITANTE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000000"/>
          <w:sz w:val="22"/>
          <w:szCs w:val="22"/>
        </w:rPr>
        <w:t>Liceo Scientifico Statale “A. Einstein” con sede in Milano via Einstein, 3, codice fiscale 80125710154 d’ora in poi denominato “Istituzione scolastica”, rappresentato dalla Dott.ssa Alessandra Condito nata a Milano il 23/11/1967</w:t>
      </w:r>
    </w:p>
    <w:p>
      <w:pPr>
        <w:pStyle w:val="Normal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e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…………………………………………………</w:t>
      </w:r>
      <w:r>
        <w:rPr>
          <w:rFonts w:cs="Times New Roman" w:ascii="Times New Roman" w:hAnsi="Times New Roman"/>
          <w:color w:val="000000"/>
          <w:sz w:val="22"/>
          <w:szCs w:val="22"/>
        </w:rPr>
        <w:t>..con sede in via ..…………………………n.….. città…………………, codice fiscale/P.Iva…………………….., d’ora in poi denominato “soggetto ospitante”, rappresentato (legale rappresentante) da…………………………….., nato a ……...…………… il…….………..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 xml:space="preserve">codice fiscale  ………………………….., indirizzo email ……………………., tel. ………………………….  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t>Premesso che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 xml:space="preserve">- la legge 30 dicembre 2018, n. 145, recante </w:t>
      </w:r>
      <w:r>
        <w:rPr>
          <w:rFonts w:cs="Times New Roman" w:ascii="Times New Roman" w:hAnsi="Times New Roman"/>
          <w:i/>
          <w:color w:val="000000"/>
          <w:sz w:val="22"/>
          <w:szCs w:val="22"/>
        </w:rPr>
        <w:t>“Bilancio di previsione dello Stato per l’anno finanziario 2019 e bilancio pluriennale per il triennio 2019-2021</w:t>
      </w:r>
      <w:r>
        <w:rPr>
          <w:rFonts w:cs="Times New Roman" w:ascii="Times New Roman" w:hAnsi="Times New Roman"/>
          <w:color w:val="000000"/>
          <w:sz w:val="22"/>
          <w:szCs w:val="22"/>
        </w:rPr>
        <w:t xml:space="preserve">” (legge di Bilancio 2019) ha disposto la ridenominazione dei percorsi di alternanza scuola lavoro di cui al decreto legislativo 15 aprile 2005, n. 77, in </w:t>
      </w:r>
      <w:r>
        <w:rPr>
          <w:rFonts w:cs="Times New Roman" w:ascii="Times New Roman" w:hAnsi="Times New Roman"/>
          <w:i/>
          <w:color w:val="000000"/>
          <w:sz w:val="22"/>
          <w:szCs w:val="22"/>
        </w:rPr>
        <w:t>“Percorsi per le competenze trasversali e per l’orientamento (PCTO)”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- ai sensi dell’art. 1 D. Lgs. 77/05, tali percorsi costituiscono una modalità di realizzazione dei corsi nel secondo ciclo del sistema d’istruzione e formazione, per assicurare ai giovani l’acquisizione di competenze spendibili nel mercato del lavoro;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000000"/>
          <w:sz w:val="22"/>
          <w:szCs w:val="22"/>
        </w:rPr>
        <w:t>- ai sensi della legge 13 luglio 2015 n.107, art.1, commi 33-43, i percorsi in esame sono organicamente inseriti nel piano triennale dell’offerta formativa dell’istituzione scolastica come parte integrante dei percorsi di istruzione;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000000"/>
          <w:sz w:val="22"/>
          <w:szCs w:val="22"/>
        </w:rPr>
        <w:t>- i Percorsi per le competenze trasversali e per l’orientamento (PCTO) sono soggetti all’applicazione del D. Lgs. 9 aprile 2008, n .81 e successive modifiche ed integrazioni;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t>Si conviene quanto segue: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1D407E"/>
          <w:sz w:val="22"/>
          <w:szCs w:val="22"/>
        </w:rPr>
      </w:pPr>
      <w:r>
        <w:rPr>
          <w:rFonts w:cs="Times New Roman" w:ascii="Times New Roman" w:hAnsi="Times New Roman"/>
          <w:b/>
          <w:bCs/>
          <w:color w:val="1D407E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t>Art. 1.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 xml:space="preserve">Il “soggetto ospitante”, si impegna ad accogliere a titolo gratuito, presso le sue strutture, alcuni studenti del Liceo scientifico Statale “A. Einstein”, di seguito indicato anche come “istituzione scolastica”, nei percorsi per le competenze trasversali e per l’orientamento 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t>Art. 2.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000000"/>
          <w:sz w:val="22"/>
          <w:szCs w:val="22"/>
        </w:rPr>
        <w:t>1. L’accoglimento degli studenti per i periodi di apprendimento in ambiente lavorativo non costituisce rapporto di lavoro.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000000"/>
          <w:sz w:val="22"/>
          <w:szCs w:val="22"/>
        </w:rPr>
        <w:t>2. Ai fini e agli effetti delle disposizioni di cui al D. Lgs. 81/2008, lo studente nelle attività di PCTO è equiparato al lavoratore, ex art. 2, comma 1 lettera a) del decreto citato.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000000"/>
          <w:sz w:val="22"/>
          <w:szCs w:val="22"/>
        </w:rPr>
        <w:t xml:space="preserve">3. Per ciascun allievo beneficiario dei percorsi per le competenze trasversali e per l’orientamento inserito nella struttura ospitante in base alla presente Convenzione l’Istituzione scolastica predispone un percorso formativo personalizzato, che fa parte integrante della presente Convenzione;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000000"/>
          <w:sz w:val="22"/>
          <w:szCs w:val="22"/>
        </w:rPr>
        <w:t>5. L’accoglimento degli studenti minorenni per i periodi di apprendimento in situazione lavorativa non fa acquisire agli stessi la qualifica di “lavoratore minore” di cui alla L. 977/67 e successive modifiche.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t>Art. 3.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 xml:space="preserve">1. Il docente </w:t>
      </w:r>
      <w:r>
        <w:rPr>
          <w:rFonts w:cs="Times New Roman" w:ascii="Times New Roman" w:hAnsi="Times New Roman"/>
          <w:b/>
          <w:color w:val="000000"/>
          <w:sz w:val="22"/>
          <w:szCs w:val="22"/>
        </w:rPr>
        <w:t>tutor interno</w:t>
      </w:r>
      <w:r>
        <w:rPr>
          <w:rFonts w:cs="Times New Roman" w:ascii="Times New Roman" w:hAnsi="Times New Roman"/>
          <w:color w:val="000000"/>
          <w:sz w:val="22"/>
          <w:szCs w:val="22"/>
        </w:rPr>
        <w:t xml:space="preserve"> svolge le seguenti funzioni: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000000"/>
          <w:sz w:val="22"/>
          <w:szCs w:val="22"/>
        </w:rPr>
        <w:t>a) elabora il percorso formativo personalizzato sottoscritto dalle parti coinvolte (scuola, struttura ospitante, studente e soggetti che esercitano la potestà genitoriale);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000000"/>
          <w:sz w:val="22"/>
          <w:szCs w:val="22"/>
        </w:rPr>
        <w:t>b) assiste e guida lo studente nei percorsi per le competenze trasversali e per l’orientamento e ne verifica, in collaborazione con il tutor esterno, il corretto svolgimento;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000000"/>
          <w:sz w:val="22"/>
          <w:szCs w:val="22"/>
        </w:rPr>
        <w:t>c) gestisce le relazioni con il contesto in cui si sviluppa l’esperienza di PCTO, rapportandosi con il tutor esterno;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d) monitora le attività e affronta le eventuali criticità che dovessero emergere dalle stesse;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e) valuta, comunica e valorizza gli obiettivi raggiunti e le competenze progressivamente sviluppate dallo studente;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000000"/>
          <w:sz w:val="22"/>
          <w:szCs w:val="22"/>
        </w:rPr>
        <w:t>f) informa gli organi scolastici preposti (Dirigente Scolastico, Dipartimenti, Collegio dei docenti), aggiorna il Consiglio di classe sullo svolgimento dei percorsi;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000000"/>
          <w:sz w:val="22"/>
          <w:szCs w:val="22"/>
        </w:rPr>
        <w:t xml:space="preserve">2. Il </w:t>
      </w:r>
      <w:r>
        <w:rPr>
          <w:rFonts w:cs="Times New Roman" w:ascii="Times New Roman" w:hAnsi="Times New Roman"/>
          <w:b/>
          <w:color w:val="000000"/>
          <w:sz w:val="22"/>
          <w:szCs w:val="22"/>
        </w:rPr>
        <w:t>tutor formativo esterno</w:t>
      </w:r>
      <w:r>
        <w:rPr>
          <w:rFonts w:cs="Times New Roman" w:ascii="Times New Roman" w:hAnsi="Times New Roman"/>
          <w:color w:val="000000"/>
          <w:sz w:val="22"/>
          <w:szCs w:val="22"/>
        </w:rPr>
        <w:t xml:space="preserve"> svolge le seguenti funzioni:</w:t>
      </w:r>
    </w:p>
    <w:p>
      <w:pPr>
        <w:pStyle w:val="Normal"/>
        <w:rPr/>
      </w:pPr>
      <w:r>
        <w:rPr>
          <w:rFonts w:cs="Times New Roman" w:ascii="Times New Roman" w:hAnsi="Times New Roman"/>
          <w:color w:val="000000"/>
          <w:sz w:val="22"/>
          <w:szCs w:val="22"/>
        </w:rPr>
        <w:t>a) collabora con il tutor interno alla progettazione, organizzazione e valutazione dell’esperienza di PCTO;</w:t>
      </w:r>
    </w:p>
    <w:p>
      <w:pPr>
        <w:pStyle w:val="Normal"/>
        <w:rPr/>
      </w:pPr>
      <w:r>
        <w:rPr>
          <w:rFonts w:cs="Times New Roman" w:ascii="Times New Roman" w:hAnsi="Times New Roman"/>
          <w:color w:val="000000"/>
          <w:sz w:val="22"/>
          <w:szCs w:val="22"/>
        </w:rPr>
        <w:t>b) favorisce l’inserimento dello studente nel contesto operativo, lo affianca e lo assiste nel percorso;</w:t>
      </w:r>
    </w:p>
    <w:p>
      <w:pPr>
        <w:pStyle w:val="Normal"/>
        <w:rPr/>
      </w:pPr>
      <w:r>
        <w:rPr>
          <w:rFonts w:cs="Times New Roman" w:ascii="Times New Roman" w:hAnsi="Times New Roman"/>
          <w:color w:val="000000"/>
          <w:sz w:val="22"/>
          <w:szCs w:val="22"/>
        </w:rPr>
        <w:t>c) garantisce l’informazione degli studenti sui rischi specifici aziendali, nel rispetto delle procedure interne;</w:t>
      </w:r>
    </w:p>
    <w:p>
      <w:pPr>
        <w:pStyle w:val="Normal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d) fornisce all’istituzione scolastica gli elementi concordati per valutare le attività dello studente e l’efficacia del processo formativo.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t>Art. 4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000000"/>
          <w:sz w:val="22"/>
          <w:szCs w:val="22"/>
        </w:rPr>
        <w:t>1. Durante lo svolgimento dell’attività di PCTO i beneficiari del percorso sono tenuti a: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a) svolgere le attività previste dal percorso formativo personalizzato;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000000"/>
          <w:sz w:val="22"/>
          <w:szCs w:val="22"/>
        </w:rPr>
        <w:t>b) rispettare le norme in materia di igiene, sicurezza e salute sui luoghi di lavoro, nonché tutte le disposizioni, istruzioni, prescrizioni, regolamenti interni, previsti a tale scopo;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c) mantenere la necessaria riservatezza per quanto attiene ai dati, informazioni o conoscenze in merito a processi produttivi e prodotti, acquisiti durante lo svolgimento dell’attività formativa in contesto lavorativo;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000000"/>
          <w:sz w:val="22"/>
          <w:szCs w:val="22"/>
        </w:rPr>
        <w:t>d) seguire le indicazioni dei tutor e fare riferimento ad essi per qualsiasi esigenza di tipo organizzativo o altre evenienze;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e) rispettare gli obblighi di cui al D.Lgs. 81/2008, art. 20.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t>Art. 5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000000"/>
          <w:sz w:val="22"/>
          <w:szCs w:val="22"/>
        </w:rPr>
        <w:t xml:space="preserve">1. L’istituzione scolastica assicura i beneficiari dei percorsi per le competenze trasversali e per l’orientamento contro gli infortuni sul lavoro presso l’INAIL, (gestione per conto dello Stato) nonché per la responsabilità civile presso compagnie assicurative operanti nel settore.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000000"/>
          <w:sz w:val="22"/>
          <w:szCs w:val="22"/>
        </w:rPr>
        <w:t>2. Ai fini dell’applicazione dell’articolo 18 del D. Lgs. 81/2008 il soggetto promotore si fa carico di informare/formare lo studente in materia di norme relative a igiene, sicurezza e salute sui luoghi di lavoro, con particolare riguardo agli obblighi dello studente ex art. 20 D. Lgs. 81/2008.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1D407E"/>
          <w:sz w:val="22"/>
          <w:szCs w:val="22"/>
        </w:rPr>
      </w:pPr>
      <w:r>
        <w:rPr>
          <w:rFonts w:cs="Times New Roman" w:ascii="Times New Roman" w:hAnsi="Times New Roman"/>
          <w:b/>
          <w:bCs/>
          <w:color w:val="1D407E"/>
          <w:sz w:val="22"/>
          <w:szCs w:val="22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bCs/>
          <w:sz w:val="22"/>
          <w:szCs w:val="22"/>
        </w:rPr>
        <w:t>Art. 6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000000"/>
          <w:sz w:val="22"/>
          <w:szCs w:val="22"/>
        </w:rPr>
        <w:t>Il soggetto ospitante si impegna a: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a) garantire ai beneficiari del percorso, per il tramite del tutor della struttura ospitante, l’assistenza necessaria al buon esito dell’attività di alternanza;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000000"/>
          <w:sz w:val="22"/>
          <w:szCs w:val="22"/>
        </w:rPr>
        <w:t>b) rispettare le norme antinfortunistiche e di igiene sul lavoro;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c) informare il soggetto promotore di qualsiasi incidente accada ai beneficiari.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2"/>
          <w:szCs w:val="22"/>
        </w:rPr>
      </w:pPr>
      <w:r>
        <w:rPr>
          <w:rFonts w:cs="Times New Roman" w:ascii="Times New Roman" w:hAnsi="Times New Roman"/>
          <w:b/>
          <w:bCs/>
          <w:color w:val="000000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2"/>
          <w:szCs w:val="22"/>
        </w:rPr>
      </w:pPr>
      <w:bookmarkStart w:id="0" w:name="_GoBack"/>
      <w:bookmarkEnd w:id="0"/>
      <w:r>
        <w:rPr>
          <w:rFonts w:cs="Times New Roman" w:ascii="Times New Roman" w:hAnsi="Times New Roman"/>
          <w:b/>
          <w:bCs/>
          <w:sz w:val="22"/>
          <w:szCs w:val="22"/>
        </w:rPr>
        <w:t>Art. 7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 xml:space="preserve">1. La presente convenzione decorre dalla data della sottoscrizione e ha durata </w:t>
      </w:r>
      <w:r>
        <w:rPr>
          <w:rFonts w:cs="Times New Roman" w:ascii="Times New Roman" w:hAnsi="Times New Roman"/>
          <w:color w:val="000000"/>
          <w:sz w:val="32"/>
          <w:szCs w:val="32"/>
        </w:rPr>
        <w:t xml:space="preserve">□ </w:t>
      </w:r>
      <w:r>
        <w:rPr>
          <w:rFonts w:cs="Times New Roman" w:ascii="Times New Roman" w:hAnsi="Times New Roman"/>
          <w:color w:val="000000"/>
          <w:sz w:val="22"/>
          <w:szCs w:val="22"/>
        </w:rPr>
        <w:t xml:space="preserve">annuale, </w:t>
      </w:r>
      <w:r>
        <w:rPr>
          <w:rFonts w:cs="Times New Roman" w:ascii="Times New Roman" w:hAnsi="Times New Roman"/>
          <w:color w:val="000000"/>
          <w:sz w:val="32"/>
          <w:szCs w:val="32"/>
        </w:rPr>
        <w:t xml:space="preserve">□ </w:t>
      </w:r>
      <w:r>
        <w:rPr>
          <w:rFonts w:cs="Times New Roman" w:ascii="Times New Roman" w:hAnsi="Times New Roman"/>
          <w:color w:val="000000"/>
          <w:sz w:val="22"/>
          <w:szCs w:val="22"/>
        </w:rPr>
        <w:t>biennale,</w:t>
      </w:r>
      <w:r>
        <w:rPr>
          <w:rFonts w:cs="Times New Roman" w:ascii="Times New Roman" w:hAnsi="Times New Roman"/>
          <w:color w:val="000000"/>
          <w:sz w:val="32"/>
          <w:szCs w:val="32"/>
        </w:rPr>
        <w:t xml:space="preserve"> □ </w:t>
      </w:r>
      <w:r>
        <w:rPr>
          <w:rFonts w:cs="Times New Roman" w:ascii="Times New Roman" w:hAnsi="Times New Roman"/>
          <w:color w:val="000000"/>
          <w:sz w:val="22"/>
          <w:szCs w:val="22"/>
        </w:rPr>
        <w:t>triennale.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000000"/>
          <w:sz w:val="22"/>
          <w:szCs w:val="22"/>
        </w:rPr>
        <w:t>2. È in ogni caso riconosciuta facoltà al soggetto ospitante e al soggetto promotore di risolvere la presente convenzione in caso di violazione degli obblighi in materia di salute e sicurezza nei luoghi di lavoro o del piano formativo personalizzato.</w:t>
      </w:r>
    </w:p>
    <w:p>
      <w:pPr>
        <w:pStyle w:val="Normal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Milano, ……………….</w:t>
      </w:r>
    </w:p>
    <w:p>
      <w:pPr>
        <w:pStyle w:val="Normal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color w:val="000000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Liceo scientifico Statale “A. Einstein”</w:t>
        <w:tab/>
        <w:tab/>
        <w:tab/>
        <w:tab/>
        <w:t xml:space="preserve">Il soggetto ospitante                                                                                     </w:t>
      </w:r>
      <w:r>
        <w:rPr>
          <w:rFonts w:cs="Times New Roman" w:ascii="Times New Roman" w:hAnsi="Times New Roman"/>
          <w:bCs/>
          <w:color w:val="000000"/>
          <w:sz w:val="22"/>
          <w:szCs w:val="22"/>
        </w:rPr>
        <w:t xml:space="preserve">Dott.ssa Alessandra Condito           </w:t>
        <w:tab/>
        <w:tab/>
        <w:tab/>
        <w:tab/>
        <w:t xml:space="preserve">………………………………..                        </w:t>
      </w:r>
    </w:p>
    <w:p>
      <w:pPr>
        <w:pStyle w:val="Corpotesto1"/>
        <w:rPr>
          <w:rFonts w:ascii="Times New Roman" w:hAnsi="Times New Roman" w:cs="Times New Roman"/>
          <w:b w:val="false"/>
          <w:b w:val="false"/>
          <w:bCs/>
          <w:color w:val="000000"/>
          <w:sz w:val="22"/>
          <w:szCs w:val="22"/>
        </w:rPr>
      </w:pPr>
      <w:r>
        <w:rPr>
          <w:rFonts w:cs="Times New Roman"/>
          <w:b w:val="false"/>
          <w:bCs/>
          <w:color w:val="000000"/>
          <w:sz w:val="22"/>
          <w:szCs w:val="22"/>
        </w:rPr>
      </w:r>
    </w:p>
    <w:sectPr>
      <w:type w:val="nextPage"/>
      <w:pgSz w:w="11906" w:h="16838"/>
      <w:pgMar w:left="1134" w:right="851" w:gutter="0" w:header="0" w:top="567" w:footer="0" w:bottom="851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Helvetica">
    <w:altName w:val="Arial"/>
    <w:charset w:val="00"/>
    <w:family w:val="swiss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swiss"/>
    <w:pitch w:val="variable"/>
  </w:font>
  <w:font w:name="Century Gothic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Helvetica" w:hAnsi="Helvetica" w:eastAsia="Times New Roman" w:cs="Helvetica"/>
      <w:color w:val="auto"/>
      <w:sz w:val="24"/>
      <w:szCs w:val="24"/>
      <w:lang w:val="it-IT" w:bidi="ar-SA" w:eastAsia="zh-CN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6z0">
    <w:name w:val="WW8Num6z0"/>
    <w:qFormat/>
    <w:rPr>
      <w:rFonts w:ascii="Times New Roman" w:hAnsi="Times New Roman" w:cs="Times New Roman"/>
      <w:b w:val="false"/>
      <w:i w:val="false"/>
      <w:sz w:val="24"/>
      <w:u w:val="none"/>
    </w:rPr>
  </w:style>
  <w:style w:type="character" w:styleId="WW8Num8z0">
    <w:name w:val="WW8Num8z0"/>
    <w:qFormat/>
    <w:rPr>
      <w:rFonts w:ascii="Symbol" w:hAnsi="Symbol" w:cs="Symbol"/>
      <w:sz w:val="20"/>
    </w:rPr>
  </w:style>
  <w:style w:type="character" w:styleId="WW8Num8z1">
    <w:name w:val="WW8Num8z1"/>
    <w:qFormat/>
    <w:rPr>
      <w:rFonts w:ascii="Courier New" w:hAnsi="Courier New" w:cs="Courier New"/>
      <w:sz w:val="20"/>
    </w:rPr>
  </w:style>
  <w:style w:type="character" w:styleId="WW8Num8z2">
    <w:name w:val="WW8Num8z2"/>
    <w:qFormat/>
    <w:rPr>
      <w:rFonts w:ascii="Wingdings" w:hAnsi="Wingdings" w:cs="Wingdings"/>
      <w:sz w:val="20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St2z0">
    <w:name w:val="WW8NumSt2z0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CollegamentoInternet">
    <w:name w:val="Hyperlink"/>
    <w:rPr>
      <w:color w:val="0000FF"/>
      <w:u w:val="single"/>
    </w:rPr>
  </w:style>
  <w:style w:type="character" w:styleId="Enfasiforte">
    <w:name w:val="Strong"/>
    <w:qFormat/>
    <w:rPr>
      <w:b/>
      <w:b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next w:val="Normal"/>
    <w:qFormat/>
    <w:pPr>
      <w:overflowPunct w:val="false"/>
      <w:textAlignment w:val="baseline"/>
    </w:pPr>
    <w:rPr>
      <w:rFonts w:ascii="Times New Roman" w:hAnsi="Times New Roman" w:cs="Times New Roman"/>
      <w:b/>
      <w:sz w:val="20"/>
      <w:szCs w:val="20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testo1">
    <w:name w:val="Corpo testo1"/>
    <w:basedOn w:val="Normal"/>
    <w:qFormat/>
    <w:pPr>
      <w:widowControl/>
      <w:overflowPunct w:val="false"/>
      <w:jc w:val="both"/>
      <w:textAlignment w:val="baseline"/>
    </w:pPr>
    <w:rPr>
      <w:rFonts w:ascii="Times New Roman" w:hAnsi="Times New Roman" w:cs="Times New Roman"/>
      <w:b/>
      <w:szCs w:val="20"/>
    </w:rPr>
  </w:style>
  <w:style w:type="paragraph" w:styleId="NormaleWeb">
    <w:name w:val="Normale (Web)"/>
    <w:basedOn w:val="Normal"/>
    <w:qFormat/>
    <w:pPr>
      <w:widowControl/>
      <w:autoSpaceDE w:val="true"/>
      <w:spacing w:before="280" w:after="280"/>
    </w:pPr>
    <w:rPr>
      <w:rFonts w:ascii="Times New Roman" w:hAnsi="Times New Roman" w:cs="Times New Roman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liceoeinsteinmilano.edu.it/" TargetMode="External"/><Relationship Id="rId4" Type="http://schemas.openxmlformats.org/officeDocument/2006/relationships/hyperlink" Target="mailto:didattica@liceoeinsteinmilano.edu.it" TargetMode="External"/><Relationship Id="rId5" Type="http://schemas.openxmlformats.org/officeDocument/2006/relationships/hyperlink" Target="mailto:amministrativa@liceoeinsteinmilano.edu.it" TargetMode="External"/><Relationship Id="rId6" Type="http://schemas.openxmlformats.org/officeDocument/2006/relationships/hyperlink" Target="mailto:mips01000g@pec.istruzione.it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20</TotalTime>
  <Application>LibreOffice/7.4.2.3$Windows_X86_64 LibreOffice_project/382eef1f22670f7f4118c8c2dd222ec7ad009daf</Application>
  <AppVersion>15.0000</AppVersion>
  <Pages>3</Pages>
  <Words>935</Words>
  <Characters>5775</Characters>
  <CharactersWithSpaces>6785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2023-03-13T10:37:00Z</dcterms:created>
  <dc:creator>insegnante</dc:creator>
  <dc:description/>
  <cp:keywords/>
  <dc:language>it-IT</dc:language>
  <cp:lastModifiedBy>Preside</cp:lastModifiedBy>
  <cp:lastPrinted>2020-01-13T10:02:00Z</cp:lastPrinted>
  <dcterms:modified xsi:type="dcterms:W3CDTF">2023-03-17T11:09:00Z</dcterms:modified>
  <cp:revision>6</cp:revision>
  <dc:subject/>
  <dc:title/>
</cp:coreProperties>
</file>